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27AE8F"/>
          <w:sz w:val="16"/>
        </w:rPr>
        <w:t>CONFIDENTIAL BUSINESS DOCUMENT</w:t>
      </w:r>
    </w:p>
    <w:p>
      <w:pPr>
        <w:pStyle w:val="Title"/>
      </w:pPr>
      <w:r>
        <w:t>Testing Authorization and Boundaries</w:t>
      </w:r>
    </w:p>
    <w:p>
      <w:r>
        <w:rPr>
          <w:color w:val="485460"/>
          <w:sz w:val="22"/>
        </w:rPr>
        <w:t>Written authorization and safety boundaries for approved testing.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Consultant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Akande Simpa, EC-Council Certified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Operating names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Simpa Labs / AlterCore Enterprises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Contact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security@simpalabs.com | +234 705 640 4178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Document status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Signature-ready form</w:t>
            </w:r>
          </w:p>
        </w:tc>
      </w:tr>
    </w:tbl>
    <w:p/>
    <w:p>
      <w:pPr>
        <w:pStyle w:val="Heading1"/>
      </w:pPr>
      <w:r>
        <w:t>1. Authorization</w:t>
      </w:r>
    </w:p>
    <w:p>
      <w:r>
        <w:t>The client authorizes Akande Simpa, EC-Council Certified, to perform the security testing activities described in the Statement of Work against the systems listed below during the approved window.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Approved systems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Approved dates and times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Test source IPs, if required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Test accounts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Excluded systems or actions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Rate limits or traffic limits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  <w:tr>
        <w:tc>
          <w:tcPr>
            <w:tcW w:type="dxa" w:w="5083"/>
            <w:shd w:fill="EAF8F5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Incident escalation contact</w:t>
            </w:r>
          </w:p>
        </w:tc>
        <w:tc>
          <w:tcPr>
            <w:tcW w:type="dxa" w:w="5083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____________________________________________</w:t>
            </w:r>
          </w:p>
        </w:tc>
      </w:tr>
    </w:tbl>
    <w:p>
      <w:pPr>
        <w:pStyle w:val="Heading1"/>
      </w:pPr>
      <w:r>
        <w:t>2. Boundaries</w:t>
      </w:r>
    </w:p>
    <w:p>
      <w:r>
        <w:t>Testing will avoid destructive actions, customer-impacting transactions, denial of service, persistence, social engineering, physical access, direct employee contact, and third-party systems unless specifically approved in writing.</w:t>
      </w:r>
    </w:p>
    <w:p>
      <w:pPr>
        <w:pStyle w:val="Heading1"/>
      </w:pPr>
      <w:r>
        <w:t>3. Safety Controls</w:t>
      </w:r>
    </w:p>
    <w:p>
      <w:r>
        <w:t>High-impact findings will be reported promptly when immediate remediation is advisable.</w:t>
      </w:r>
    </w:p>
    <w:p>
      <w:r>
        <w:t>Testing may pause if instability, unexpected third-party exposure, or material business risk is observed.</w:t>
      </w:r>
    </w:p>
    <w:p>
      <w:r>
        <w:t>Production testing should use controlled accounts and agreed transaction values wherever possible.</w:t>
      </w:r>
    </w:p>
    <w:p>
      <w:pPr>
        <w:pStyle w:val="Heading1"/>
      </w:pPr>
      <w:r>
        <w:t>4. Evidence Handling</w:t>
      </w:r>
    </w:p>
    <w:p>
      <w:r>
        <w:t>Evidence will be limited to what is needed to prove and remediate findings. Sensitive values should be masked where practical.</w:t>
      </w:r>
    </w:p>
    <w:p>
      <w:r>
        <w:br w:type="page"/>
      </w:r>
    </w:p>
    <w:p>
      <w:pPr>
        <w:pStyle w:val="Heading1"/>
        <w:keepNext/>
      </w:pPr>
      <w: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083"/>
        <w:gridCol w:w="5083"/>
      </w:tblGrid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Consultant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  <w:shd w:fill="EAF8F5"/>
          </w:tcPr>
          <w:p>
            <w:r>
              <w:t>Client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Signature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Name: Akande Simpa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Name: ______________________________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Capacity: Individual security consultant; trading as Simpa Labs / AlterCore Enterprises where applicable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Title: ______________________________</w:t>
            </w:r>
          </w:p>
        </w:tc>
      </w:tr>
      <w:tr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Date: ______________________________</w:t>
            </w:r>
          </w:p>
        </w:tc>
        <w:tc>
          <w:tcPr>
            <w:tcW w:type="dxa" w:w="5083"/>
            <w:vAlign w:val="center"/>
            <w:tcBorders>
              <w:top w:val="single" w:sz="6" w:space="0" w:color="D8DEE4"/>
              <w:left w:val="single" w:sz="6" w:space="0" w:color="D8DEE4"/>
              <w:bottom w:val="single" w:sz="6" w:space="0" w:color="D8DEE4"/>
              <w:right w:val="single" w:sz="6" w:space="0" w:color="D8DEE4"/>
              <w:insideH w:val="single" w:sz="6" w:space="0" w:color="D8DEE4"/>
              <w:insideV w:val="single" w:sz="6" w:space="0" w:color="D8DEE4"/>
            </w:tcBorders>
          </w:tcPr>
          <w:p>
            <w:r>
              <w:t>Date: ______________________________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37" w:right="1037" w:bottom="979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right"/>
    </w:pPr>
    <w:r>
      <w:rPr>
        <w:color w:val="60707B"/>
        <w:sz w:val="16"/>
      </w:rPr>
      <w:t>Simpa Labs / AlterCore Enterprises | security@simpalabs.com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60707B"/>
        <w:sz w:val="16"/>
      </w:rPr>
      <w:t>Testing Authorization and Boundaries | Akande Simpa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B1F2A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B1F2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0B1F2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