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27AE8F"/>
          <w:sz w:val="16"/>
        </w:rPr>
        <w:t>CONFIDENTIAL BUSINESS DOCUMENT</w:t>
      </w:r>
    </w:p>
    <w:p>
      <w:pPr>
        <w:pStyle w:val="Title"/>
      </w:pPr>
      <w:r>
        <w:t>Statement of Work</w:t>
      </w:r>
    </w:p>
    <w:p>
      <w:r>
        <w:rPr>
          <w:color w:val="485460"/>
          <w:sz w:val="22"/>
        </w:rPr>
        <w:t>Project-specific scope, deliverables, timeline, and fees.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Consultant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Akande Simpa, EC-Council Certified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Operating names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Simpa Labs / AlterCore Enterprises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Contact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security@simpalabs.com | +234 705 640 4178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Document status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Signature-ready form</w:t>
            </w:r>
          </w:p>
        </w:tc>
      </w:tr>
    </w:tbl>
    <w:p/>
    <w:p>
      <w:pPr>
        <w:pStyle w:val="Heading1"/>
      </w:pPr>
      <w:r>
        <w:t>1. Project</w:t>
      </w:r>
    </w:p>
    <w:p>
      <w:r>
        <w:t>Security review for the client's fintech application, API, mobile app, infrastructure, or agreed product surface.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Client legal name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Primary contact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Planned start date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Planned report date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Systems in scope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Systems out of scope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Test account roles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Emergency contact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</w:tbl>
    <w:p>
      <w:pPr>
        <w:pStyle w:val="Heading1"/>
      </w:pPr>
      <w:r>
        <w:t>2. Services</w:t>
      </w:r>
    </w:p>
    <w:p>
      <w:r>
        <w:t>Manual security review covering agreed authentication flows, payment logic, authorization, API behavior, admin tools, mobile flows, data exposure paths, and integration handling.</w:t>
      </w:r>
    </w:p>
    <w:p>
      <w:pPr>
        <w:pStyle w:val="Heading1"/>
      </w:pPr>
      <w:r>
        <w:t>3. Deliverables</w:t>
      </w:r>
    </w:p>
    <w:p>
      <w:r>
        <w:t>Executive summary for leadership, investors, auditors, and partners.</w:t>
      </w:r>
    </w:p>
    <w:p>
      <w:r>
        <w:t>Technical report with severity, evidence, affected flow, business impact, reproduction steps, and remediation guidance.</w:t>
      </w:r>
    </w:p>
    <w:p>
      <w:r>
        <w:t>Remediation walkthrough call.</w:t>
      </w:r>
    </w:p>
    <w:p>
      <w:r>
        <w:t>One retest round for fixed findings within the agreed retest window.</w:t>
      </w:r>
    </w:p>
    <w:p>
      <w:r>
        <w:t>Retest confirmation letter.</w:t>
      </w:r>
    </w:p>
    <w:p>
      <w:pPr>
        <w:pStyle w:val="Heading1"/>
      </w:pPr>
      <w:r>
        <w:t>4. Timeline</w:t>
      </w:r>
    </w:p>
    <w:p>
      <w:r>
        <w:t>Typical delivery is 5-10 business days from kickoff, depending on scope, access readiness, system stability, and client response time.</w:t>
      </w:r>
    </w:p>
    <w:p>
      <w:pPr>
        <w:pStyle w:val="Heading1"/>
      </w:pPr>
      <w:r>
        <w:t>5. Fees</w:t>
      </w:r>
    </w:p>
    <w:p>
      <w:r>
        <w:t>Professional fee: ____________________. Payment schedule: ____________________. Expenses, taxes, and third-party costs: ____________________.</w:t>
      </w:r>
    </w:p>
    <w:p>
      <w:pPr>
        <w:pStyle w:val="Heading1"/>
      </w:pPr>
      <w:r>
        <w:t>6. Acceptance</w:t>
      </w:r>
    </w:p>
    <w:p>
      <w:r>
        <w:t>The client accepts deliverables when the agreed report and walkthrough are provided, subject to correction of material factual errors identified within five business days.</w:t>
      </w:r>
    </w:p>
    <w:p>
      <w:r>
        <w:br w:type="page"/>
      </w:r>
    </w:p>
    <w:p>
      <w:pPr>
        <w:pStyle w:val="Heading1"/>
        <w:keepNext/>
      </w:pPr>
      <w: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Consultant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Client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Name: Akande Simpa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Name: ______________________________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Capacity: Individual security consultant; trading as Simpa Labs / AlterCore Enterprises where applicable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Title: ______________________________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Date: ______________________________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Date: ______________________________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37" w:right="1037" w:bottom="979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right"/>
    </w:pPr>
    <w:r>
      <w:rPr>
        <w:color w:val="60707B"/>
        <w:sz w:val="16"/>
      </w:rPr>
      <w:t>Simpa Labs / AlterCore Enterprises | security@simpalabs.com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rPr>
        <w:color w:val="60707B"/>
        <w:sz w:val="16"/>
      </w:rPr>
      <w:t>Statement of Work | Akande Simpa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B1F2A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B1F2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0B1F2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