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27AE8F"/>
          <w:sz w:val="16"/>
        </w:rPr>
        <w:t>SIMPA LABS DOCUMENT</w:t>
      </w:r>
    </w:p>
    <w:p>
      <w:pPr>
        <w:pStyle w:val="Title"/>
      </w:pPr>
      <w:r>
        <w:t>Sample Security Review Report</w:t>
      </w:r>
    </w:p>
    <w:p>
      <w:r>
        <w:rPr>
          <w:color w:val="485460"/>
          <w:sz w:val="22"/>
        </w:rPr>
        <w:t>A realistic client-facing report for fintech security review engagements.</w:t>
      </w:r>
    </w:p>
    <w:tbl>
      <w:tblPr>
        <w:tblW w:type="auto" w:w="0"/>
        <w:tblLayout w:type="autofit"/>
        <w:tblLook w:firstColumn="1" w:firstRow="1" w:lastColumn="0" w:lastRow="0" w:noHBand="0" w:noVBand="1" w:val="04A0"/>
      </w:tblPr>
      <w:tblGrid>
        <w:gridCol w:w="5054"/>
        <w:gridCol w:w="5054"/>
      </w:tblGrid>
      <w:tr>
        <w:tc>
          <w:tcPr>
            <w:tcW w:type="dxa" w:w="5054"/>
            <w:vAlign w:val="center"/>
            <w:tcBorders>
              <w:top w:val="single" w:sz="6" w:space="0" w:color="D9E3E6"/>
              <w:left w:val="single" w:sz="6" w:space="0" w:color="D9E3E6"/>
              <w:bottom w:val="single" w:sz="6" w:space="0" w:color="D9E3E6"/>
              <w:right w:val="single" w:sz="6" w:space="0" w:color="D9E3E6"/>
              <w:insideH w:val="single" w:sz="6" w:space="0" w:color="D9E3E6"/>
              <w:insideV w:val="single" w:sz="6" w:space="0" w:color="D9E3E6"/>
            </w:tcBorders>
            <w:shd w:fill="E7F7F3"/>
          </w:tcPr>
          <w:p>
            <w:r>
              <w:t>Provider</w:t>
            </w:r>
          </w:p>
        </w:tc>
        <w:tc>
          <w:tcPr>
            <w:tcW w:type="dxa" w:w="5054"/>
            <w:vAlign w:val="center"/>
            <w:tcBorders>
              <w:top w:val="single" w:sz="6" w:space="0" w:color="D9E3E6"/>
              <w:left w:val="single" w:sz="6" w:space="0" w:color="D9E3E6"/>
              <w:bottom w:val="single" w:sz="6" w:space="0" w:color="D9E3E6"/>
              <w:right w:val="single" w:sz="6" w:space="0" w:color="D9E3E6"/>
              <w:insideH w:val="single" w:sz="6" w:space="0" w:color="D9E3E6"/>
              <w:insideV w:val="single" w:sz="6" w:space="0" w:color="D9E3E6"/>
            </w:tcBorders>
          </w:tcPr>
          <w:p>
            <w:r>
              <w:t>Simpa Labs</w:t>
            </w:r>
          </w:p>
        </w:tc>
      </w:tr>
      <w:tr>
        <w:tc>
          <w:tcPr>
            <w:tcW w:type="dxa" w:w="5054"/>
            <w:vAlign w:val="center"/>
            <w:tcBorders>
              <w:top w:val="single" w:sz="6" w:space="0" w:color="D9E3E6"/>
              <w:left w:val="single" w:sz="6" w:space="0" w:color="D9E3E6"/>
              <w:bottom w:val="single" w:sz="6" w:space="0" w:color="D9E3E6"/>
              <w:right w:val="single" w:sz="6" w:space="0" w:color="D9E3E6"/>
              <w:insideH w:val="single" w:sz="6" w:space="0" w:color="D9E3E6"/>
              <w:insideV w:val="single" w:sz="6" w:space="0" w:color="D9E3E6"/>
            </w:tcBorders>
            <w:shd w:fill="E7F7F3"/>
          </w:tcPr>
          <w:p>
            <w:r>
              <w:t>Lead</w:t>
            </w:r>
          </w:p>
        </w:tc>
        <w:tc>
          <w:tcPr>
            <w:tcW w:type="dxa" w:w="5054"/>
            <w:vAlign w:val="center"/>
            <w:tcBorders>
              <w:top w:val="single" w:sz="6" w:space="0" w:color="D9E3E6"/>
              <w:left w:val="single" w:sz="6" w:space="0" w:color="D9E3E6"/>
              <w:bottom w:val="single" w:sz="6" w:space="0" w:color="D9E3E6"/>
              <w:right w:val="single" w:sz="6" w:space="0" w:color="D9E3E6"/>
              <w:insideH w:val="single" w:sz="6" w:space="0" w:color="D9E3E6"/>
              <w:insideV w:val="single" w:sz="6" w:space="0" w:color="D9E3E6"/>
            </w:tcBorders>
          </w:tcPr>
          <w:p>
            <w:r>
              <w:t>Akande Simpa, EC-Council Certified</w:t>
            </w:r>
          </w:p>
        </w:tc>
      </w:tr>
      <w:tr>
        <w:tc>
          <w:tcPr>
            <w:tcW w:type="dxa" w:w="5054"/>
            <w:vAlign w:val="center"/>
            <w:tcBorders>
              <w:top w:val="single" w:sz="6" w:space="0" w:color="D9E3E6"/>
              <w:left w:val="single" w:sz="6" w:space="0" w:color="D9E3E6"/>
              <w:bottom w:val="single" w:sz="6" w:space="0" w:color="D9E3E6"/>
              <w:right w:val="single" w:sz="6" w:space="0" w:color="D9E3E6"/>
              <w:insideH w:val="single" w:sz="6" w:space="0" w:color="D9E3E6"/>
              <w:insideV w:val="single" w:sz="6" w:space="0" w:color="D9E3E6"/>
            </w:tcBorders>
            <w:shd w:fill="E7F7F3"/>
          </w:tcPr>
          <w:p>
            <w:r>
              <w:t>Contact</w:t>
            </w:r>
          </w:p>
        </w:tc>
        <w:tc>
          <w:tcPr>
            <w:tcW w:type="dxa" w:w="5054"/>
            <w:vAlign w:val="center"/>
            <w:tcBorders>
              <w:top w:val="single" w:sz="6" w:space="0" w:color="D9E3E6"/>
              <w:left w:val="single" w:sz="6" w:space="0" w:color="D9E3E6"/>
              <w:bottom w:val="single" w:sz="6" w:space="0" w:color="D9E3E6"/>
              <w:right w:val="single" w:sz="6" w:space="0" w:color="D9E3E6"/>
              <w:insideH w:val="single" w:sz="6" w:space="0" w:color="D9E3E6"/>
              <w:insideV w:val="single" w:sz="6" w:space="0" w:color="D9E3E6"/>
            </w:tcBorders>
          </w:tcPr>
          <w:p>
            <w:r>
              <w:t>security@simpalabs.com | +234 705 640 4178</w:t>
            </w:r>
          </w:p>
        </w:tc>
      </w:tr>
      <w:tr>
        <w:tc>
          <w:tcPr>
            <w:tcW w:type="dxa" w:w="5054"/>
            <w:vAlign w:val="center"/>
            <w:tcBorders>
              <w:top w:val="single" w:sz="6" w:space="0" w:color="D9E3E6"/>
              <w:left w:val="single" w:sz="6" w:space="0" w:color="D9E3E6"/>
              <w:bottom w:val="single" w:sz="6" w:space="0" w:color="D9E3E6"/>
              <w:right w:val="single" w:sz="6" w:space="0" w:color="D9E3E6"/>
              <w:insideH w:val="single" w:sz="6" w:space="0" w:color="D9E3E6"/>
              <w:insideV w:val="single" w:sz="6" w:space="0" w:color="D9E3E6"/>
            </w:tcBorders>
            <w:shd w:fill="E7F7F3"/>
          </w:tcPr>
          <w:p>
            <w:r>
              <w:t>Website</w:t>
            </w:r>
          </w:p>
        </w:tc>
        <w:tc>
          <w:tcPr>
            <w:tcW w:type="dxa" w:w="5054"/>
            <w:vAlign w:val="center"/>
            <w:tcBorders>
              <w:top w:val="single" w:sz="6" w:space="0" w:color="D9E3E6"/>
              <w:left w:val="single" w:sz="6" w:space="0" w:color="D9E3E6"/>
              <w:bottom w:val="single" w:sz="6" w:space="0" w:color="D9E3E6"/>
              <w:right w:val="single" w:sz="6" w:space="0" w:color="D9E3E6"/>
              <w:insideH w:val="single" w:sz="6" w:space="0" w:color="D9E3E6"/>
              <w:insideV w:val="single" w:sz="6" w:space="0" w:color="D9E3E6"/>
            </w:tcBorders>
          </w:tcPr>
          <w:p>
            <w:r>
              <w:t>simpalabs.com</w:t>
            </w:r>
          </w:p>
        </w:tc>
      </w:tr>
      <w:tr>
        <w:tc>
          <w:tcPr>
            <w:tcW w:type="dxa" w:w="5054"/>
            <w:vAlign w:val="center"/>
            <w:tcBorders>
              <w:top w:val="single" w:sz="6" w:space="0" w:color="D9E3E6"/>
              <w:left w:val="single" w:sz="6" w:space="0" w:color="D9E3E6"/>
              <w:bottom w:val="single" w:sz="6" w:space="0" w:color="D9E3E6"/>
              <w:right w:val="single" w:sz="6" w:space="0" w:color="D9E3E6"/>
              <w:insideH w:val="single" w:sz="6" w:space="0" w:color="D9E3E6"/>
              <w:insideV w:val="single" w:sz="6" w:space="0" w:color="D9E3E6"/>
            </w:tcBorders>
            <w:shd w:fill="E7F7F3"/>
          </w:tcPr>
          <w:p>
            <w:r>
              <w:t>Document status</w:t>
            </w:r>
          </w:p>
        </w:tc>
        <w:tc>
          <w:tcPr>
            <w:tcW w:type="dxa" w:w="5054"/>
            <w:vAlign w:val="center"/>
            <w:tcBorders>
              <w:top w:val="single" w:sz="6" w:space="0" w:color="D9E3E6"/>
              <w:left w:val="single" w:sz="6" w:space="0" w:color="D9E3E6"/>
              <w:bottom w:val="single" w:sz="6" w:space="0" w:color="D9E3E6"/>
              <w:right w:val="single" w:sz="6" w:space="0" w:color="D9E3E6"/>
              <w:insideH w:val="single" w:sz="6" w:space="0" w:color="D9E3E6"/>
              <w:insideV w:val="single" w:sz="6" w:space="0" w:color="D9E3E6"/>
            </w:tcBorders>
          </w:tcPr>
          <w:p>
            <w:r>
              <w:t>Template for agreed client engagements</w:t>
            </w:r>
          </w:p>
        </w:tc>
      </w:tr>
    </w:tbl>
    <w:p/>
    <w:p>
      <w:pPr>
        <w:pStyle w:val="Heading1"/>
      </w:pPr>
      <w:r>
        <w:t>1. Executive Summary</w:t>
      </w:r>
    </w:p>
    <w:p>
      <w:r>
        <w:t>ApexPay's payment API and merchant dashboard were reviewed across authentication, authorization, transaction handling, webhooks, data exposure paths, and operational controls. The review found no evidence of live customer compromise during the agreed test window. It did find authorization and webhook weaknesses that could let a user view another merchant's payout details or submit trusted-looking transaction status updates without the right proof.</w:t>
      </w:r>
    </w:p>
    <w:p>
      <w:pPr>
        <w:pStyle w:val="Heading1"/>
      </w:pPr>
      <w:r>
        <w:t>What Leadership Should Know</w:t>
      </w:r>
    </w:p>
    <w:p>
      <w:r>
        <w:t>Two findings require immediate engineering attention before a major partner review, funding diligence, or regulator-facing evidence pack.</w:t>
      </w:r>
    </w:p>
    <w:p>
      <w:r>
        <w:t>The highest-risk issue is object-level authorization on payout endpoints. The fix is clear: enforce merchant ownership checks server-side on every payout and settlement object.</w:t>
      </w:r>
    </w:p>
    <w:p>
      <w:r>
        <w:t>Webhook verification is present but incomplete. The endpoint accepts a valid timestamp without consistently validating the message signature against the original body.</w:t>
      </w:r>
    </w:p>
    <w:p>
      <w:r>
        <w:t>The product team can reduce the active risk meaningfully within five business days if the recommended owner plan is followed.</w:t>
      </w:r>
    </w:p>
    <w:tbl>
      <w:tblPr>
        <w:tblW w:type="auto" w:w="0"/>
        <w:tblLayout w:type="autofit"/>
        <w:tblLook w:firstColumn="1" w:firstRow="1" w:lastColumn="0" w:lastRow="0" w:noHBand="0" w:noVBand="1" w:val="04A0"/>
      </w:tblPr>
      <w:tblGrid>
        <w:gridCol w:w="3369"/>
        <w:gridCol w:w="3369"/>
        <w:gridCol w:w="3369"/>
      </w:tblGrid>
      <w:tr>
        <w:tc>
          <w:tcPr>
            <w:tcW w:type="dxa" w:w="3369"/>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Severity</w:t>
            </w:r>
          </w:p>
        </w:tc>
        <w:tc>
          <w:tcPr>
            <w:tcW w:type="dxa" w:w="3369"/>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Count</w:t>
            </w:r>
          </w:p>
        </w:tc>
        <w:tc>
          <w:tcPr>
            <w:tcW w:type="dxa" w:w="3369"/>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Business meaning</w:t>
            </w:r>
          </w:p>
        </w:tc>
      </w:tr>
      <w:tr>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Critical</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0</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No finding required emergency shutdown or customer-wide action.</w:t>
            </w:r>
          </w:p>
        </w:tc>
      </w:tr>
      <w:tr>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High</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2</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Material risk to merchant data, transaction integrity, or partner confidence.</w:t>
            </w:r>
          </w:p>
        </w:tc>
      </w:tr>
      <w:tr>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Medium</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3</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Important weaknesses that should enter the current engineering sprint.</w:t>
            </w:r>
          </w:p>
        </w:tc>
      </w:tr>
      <w:tr>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Low</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2</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Hardening items that improve resilience and audit readiness.</w:t>
            </w:r>
          </w:p>
        </w:tc>
      </w:tr>
    </w:tbl>
    <w:p/>
    <w:tbl>
      <w:tblPr>
        <w:tblW w:type="auto" w:w="0"/>
        <w:tblLayout w:type="autofit"/>
        <w:tblLook w:firstColumn="1" w:firstRow="1" w:lastColumn="0" w:lastRow="0" w:noHBand="0" w:noVBand="1" w:val="04A0"/>
      </w:tblPr>
      <w:tblGrid>
        <w:gridCol w:w="2527"/>
        <w:gridCol w:w="2527"/>
        <w:gridCol w:w="2527"/>
        <w:gridCol w:w="2527"/>
      </w:tblGrid>
      <w:tr>
        <w:tc>
          <w:tcPr>
            <w:tcW w:type="dxa" w:w="2527"/>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Priority</w:t>
            </w:r>
          </w:p>
        </w:tc>
        <w:tc>
          <w:tcPr>
            <w:tcW w:type="dxa" w:w="2527"/>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Owner</w:t>
            </w:r>
          </w:p>
        </w:tc>
        <w:tc>
          <w:tcPr>
            <w:tcW w:type="dxa" w:w="2527"/>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Action</w:t>
            </w:r>
          </w:p>
        </w:tc>
        <w:tc>
          <w:tcPr>
            <w:tcW w:type="dxa" w:w="2527"/>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Due</w:t>
            </w:r>
          </w:p>
        </w:tc>
      </w:tr>
      <w:tr>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1</w:t>
            </w:r>
          </w:p>
        </w:tc>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Backend</w:t>
            </w:r>
          </w:p>
        </w:tc>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Add server-side merchant ownership checks to payout and settlement reads.</w:t>
            </w:r>
          </w:p>
        </w:tc>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48 hours</w:t>
            </w:r>
          </w:p>
        </w:tc>
      </w:tr>
      <w:tr>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2</w:t>
            </w:r>
          </w:p>
        </w:tc>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Platform</w:t>
            </w:r>
          </w:p>
        </w:tc>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Require HMAC verification against the raw webhook body before status changes.</w:t>
            </w:r>
          </w:p>
        </w:tc>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72 hours</w:t>
            </w:r>
          </w:p>
        </w:tc>
      </w:tr>
      <w:tr>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3</w:t>
            </w:r>
          </w:p>
        </w:tc>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Product Engineering</w:t>
            </w:r>
          </w:p>
        </w:tc>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Add negative authorization tests for every object reference in the merchant dashboard.</w:t>
            </w:r>
          </w:p>
        </w:tc>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5 business days</w:t>
            </w:r>
          </w:p>
        </w:tc>
      </w:tr>
      <w:tr>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4</w:t>
            </w:r>
          </w:p>
        </w:tc>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Security Contact</w:t>
            </w:r>
          </w:p>
        </w:tc>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Run retest on fixed findings and issue partner-safe confirmation letter.</w:t>
            </w:r>
          </w:p>
        </w:tc>
        <w:tc>
          <w:tcPr>
            <w:tcW w:type="dxa" w:w="2527"/>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After fixes</w:t>
            </w:r>
          </w:p>
        </w:tc>
      </w:tr>
    </w:tbl>
    <w:p/>
    <w:p>
      <w:r>
        <w:br w:type="page"/>
      </w:r>
    </w:p>
    <w:p>
      <w:pPr>
        <w:pStyle w:val="Heading1"/>
      </w:pPr>
      <w:r>
        <w:t>2. Engagement Details</w:t>
      </w:r>
    </w:p>
    <w:p>
      <w:r>
        <w:t>The review was scoped to the agreed staging and limited-production surfaces supplied by ApexPay. Testing used client-approved accounts, controlled transaction values, and redacted evidence. No customer-impacting action was performed.</w:t>
      </w:r>
    </w:p>
    <w:tbl>
      <w:tblPr>
        <w:tblW w:type="auto" w:w="0"/>
        <w:tblLayout w:type="autofit"/>
        <w:tblLook w:firstColumn="1" w:firstRow="1" w:lastColumn="0" w:lastRow="0" w:noHBand="0" w:noVBand="1" w:val="04A0"/>
      </w:tblPr>
      <w:tblGrid>
        <w:gridCol w:w="5054"/>
        <w:gridCol w:w="5054"/>
      </w:tblGrid>
      <w:tr>
        <w:tc>
          <w:tcPr>
            <w:tcW w:type="dxa" w:w="5054"/>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Field</w:t>
            </w:r>
          </w:p>
        </w:tc>
        <w:tc>
          <w:tcPr>
            <w:tcW w:type="dxa" w:w="5054"/>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Details</w:t>
            </w:r>
          </w:p>
        </w:tc>
      </w:tr>
      <w:tr>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Client</w:t>
            </w:r>
          </w:p>
        </w:tc>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ApexPay Technologies Ltd.</w:t>
            </w:r>
          </w:p>
        </w:tc>
      </w:tr>
      <w:tr>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Product</w:t>
            </w:r>
          </w:p>
        </w:tc>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Merchant dashboard, payment API, settlement API, webhook receiver</w:t>
            </w:r>
          </w:p>
        </w:tc>
      </w:tr>
      <w:tr>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Review window</w:t>
            </w:r>
          </w:p>
        </w:tc>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May 13-17, 2026</w:t>
            </w:r>
          </w:p>
        </w:tc>
      </w:tr>
      <w:tr>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Consultant</w:t>
            </w:r>
          </w:p>
        </w:tc>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Akande Simpa, EC-Council Certified</w:t>
            </w:r>
          </w:p>
        </w:tc>
      </w:tr>
      <w:tr>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Environment</w:t>
            </w:r>
          </w:p>
        </w:tc>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Staging plus approved limited-production verification</w:t>
            </w:r>
          </w:p>
        </w:tc>
      </w:tr>
      <w:tr>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Final report date</w:t>
            </w:r>
          </w:p>
        </w:tc>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May 20, 2026</w:t>
            </w:r>
          </w:p>
        </w:tc>
      </w:tr>
    </w:tbl>
    <w:p/>
    <w:p>
      <w:pPr>
        <w:pStyle w:val="Heading1"/>
      </w:pPr>
      <w:r>
        <w:t>Scope Reviewed</w:t>
      </w:r>
    </w:p>
    <w:p>
      <w:r>
        <w:t>Merchant login, session handling, password reset, role permissions, and account switching.</w:t>
      </w:r>
    </w:p>
    <w:p>
      <w:r>
        <w:t>Payment creation, transaction lookup, refunds, settlement records, payout details, and webhook updates.</w:t>
      </w:r>
    </w:p>
    <w:p>
      <w:r>
        <w:t>API behavior under valid, missing, expired, replayed, and cross-merchant object references.</w:t>
      </w:r>
    </w:p>
    <w:p>
      <w:r>
        <w:t>Sensitive data exposure in responses, logs, dashboard views, and exported files.</w:t>
      </w:r>
    </w:p>
    <w:p>
      <w:r>
        <w:t>Operational readiness: audit events, rate limits, error handling, and retest readiness.</w:t>
      </w:r>
    </w:p>
    <w:p>
      <w:pPr>
        <w:pStyle w:val="Heading1"/>
      </w:pPr>
      <w:r>
        <w:t>Out of Scope</w:t>
      </w:r>
    </w:p>
    <w:p>
      <w:r>
        <w:t>Denial-of-service testing, social engineering, direct employee contact, physical access, third-party provider testing, and production data extraction.</w:t>
      </w:r>
    </w:p>
    <w:p>
      <w:r>
        <w:t>Source code review was not included. Findings reflect observed application behavior during the review window.</w:t>
      </w:r>
    </w:p>
    <w:p>
      <w:r>
        <w:br w:type="page"/>
      </w:r>
    </w:p>
    <w:p>
      <w:pPr>
        <w:pStyle w:val="Heading1"/>
      </w:pPr>
      <w:r>
        <w:t>3. Findings Overview</w:t>
      </w:r>
    </w:p>
    <w:p>
      <w:r>
        <w:t>The table below is the working list for engineering triage. Each finding includes the business impact, proof summary, remediation guidance, and retest criteria.</w:t>
      </w:r>
    </w:p>
    <w:tbl>
      <w:tblPr>
        <w:tblW w:type="auto" w:w="0"/>
        <w:tblLayout w:type="autofit"/>
        <w:tblLook w:firstColumn="1" w:firstRow="1" w:lastColumn="0" w:lastRow="0" w:noHBand="0" w:noVBand="1" w:val="04A0"/>
      </w:tblPr>
      <w:tblGrid>
        <w:gridCol w:w="2022"/>
        <w:gridCol w:w="2022"/>
        <w:gridCol w:w="2022"/>
        <w:gridCol w:w="2022"/>
        <w:gridCol w:w="2022"/>
      </w:tblGrid>
      <w:tr>
        <w:tc>
          <w:tcPr>
            <w:tcW w:type="dxa" w:w="2022"/>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ID</w:t>
            </w:r>
          </w:p>
        </w:tc>
        <w:tc>
          <w:tcPr>
            <w:tcW w:type="dxa" w:w="2022"/>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Finding</w:t>
            </w:r>
          </w:p>
        </w:tc>
        <w:tc>
          <w:tcPr>
            <w:tcW w:type="dxa" w:w="2022"/>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Severity</w:t>
            </w:r>
          </w:p>
        </w:tc>
        <w:tc>
          <w:tcPr>
            <w:tcW w:type="dxa" w:w="2022"/>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Status</w:t>
            </w:r>
          </w:p>
        </w:tc>
        <w:tc>
          <w:tcPr>
            <w:tcW w:type="dxa" w:w="2022"/>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Recommended owner</w:t>
            </w:r>
          </w:p>
        </w:tc>
      </w:tr>
      <w:tr>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APX-01</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Payout records can be read across merchant accounts</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High</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Open</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Backend</w:t>
            </w:r>
          </w:p>
        </w:tc>
      </w:tr>
      <w:tr>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APX-02</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Webhook status updates accepted without complete signature validation</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High</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Open</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Platform</w:t>
            </w:r>
          </w:p>
        </w:tc>
      </w:tr>
      <w:tr>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APX-03</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Refund endpoint exposes detailed processor errors</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Medium</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Open</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Payments</w:t>
            </w:r>
          </w:p>
        </w:tc>
      </w:tr>
      <w:tr>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APX-04</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Admin role changes are not logged with enough detail</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Medium</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Open</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Dashboard</w:t>
            </w:r>
          </w:p>
        </w:tc>
      </w:tr>
      <w:tr>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APX-05</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Password reset tokens remain valid after email change</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Medium</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Open</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Identity</w:t>
            </w:r>
          </w:p>
        </w:tc>
      </w:tr>
      <w:tr>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APX-06</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Security headers missing on dashboard export route</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Low</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Open</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Frontend</w:t>
            </w:r>
          </w:p>
        </w:tc>
      </w:tr>
      <w:tr>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APX-07</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Verbose version details exposed in API error responses</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Low</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Open</w:t>
            </w:r>
          </w:p>
        </w:tc>
        <w:tc>
          <w:tcPr>
            <w:tcW w:type="dxa" w:w="2022"/>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Platform</w:t>
            </w:r>
          </w:p>
        </w:tc>
      </w:tr>
    </w:tbl>
    <w:p/>
    <w:p>
      <w:pPr>
        <w:pStyle w:val="Heading1"/>
      </w:pPr>
      <w:r>
        <w:t>4. Finding APX-01: Payout Records Can Be Read Across Merchant Accounts</w:t>
      </w:r>
    </w:p>
    <w:p>
      <w:r>
        <w:t>Severity: High. A merchant user could request another merchant's payout record by changing the payout identifier in the API path. The API confirmed the record and returned payout amount, bank destination summary, settlement date, and payout status.</w:t>
      </w:r>
    </w:p>
    <w:p>
      <w:pPr>
        <w:pStyle w:val="Heading1"/>
      </w:pPr>
      <w:r>
        <w:t>Business Impact</w:t>
      </w:r>
    </w:p>
    <w:p>
      <w:r>
        <w:t>This creates a direct confidentiality risk for merchant financial records. It can weaken partner confidence, trigger contractual reporting requirements, and complicate diligence for banks, investors, or enterprise merchants.</w:t>
      </w:r>
    </w:p>
    <w:tbl>
      <w:tblPr>
        <w:tblW w:type="auto" w:w="0"/>
        <w:tblLayout w:type="autofit"/>
        <w:tblLook w:firstColumn="1" w:firstRow="1" w:lastColumn="0" w:lastRow="0" w:noHBand="0" w:noVBand="1" w:val="04A0"/>
      </w:tblPr>
      <w:tblGrid>
        <w:gridCol w:w="5054"/>
        <w:gridCol w:w="5054"/>
      </w:tblGrid>
      <w:tr>
        <w:tc>
          <w:tcPr>
            <w:tcW w:type="dxa" w:w="5054"/>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Evidence item</w:t>
            </w:r>
          </w:p>
        </w:tc>
        <w:tc>
          <w:tcPr>
            <w:tcW w:type="dxa" w:w="5054"/>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Redacted proof</w:t>
            </w:r>
          </w:p>
        </w:tc>
      </w:tr>
      <w:tr>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Endpoint</w:t>
            </w:r>
          </w:p>
        </w:tc>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GET /api/v1/merchants/{merchant_id}/payouts/{payout_id}</w:t>
            </w:r>
          </w:p>
        </w:tc>
      </w:tr>
      <w:tr>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Test account</w:t>
            </w:r>
          </w:p>
        </w:tc>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merchant_user_alpha@example.test</w:t>
            </w:r>
          </w:p>
        </w:tc>
      </w:tr>
      <w:tr>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Observed behavior</w:t>
            </w:r>
          </w:p>
        </w:tc>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Changing only payout_id returned another merchant's payout summary.</w:t>
            </w:r>
          </w:p>
        </w:tc>
      </w:tr>
      <w:tr>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Data returned</w:t>
            </w:r>
          </w:p>
        </w:tc>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Amount, settlement date, status, destination bank label, payout reference.</w:t>
            </w:r>
          </w:p>
        </w:tc>
      </w:tr>
    </w:tbl>
    <w:p/>
    <w:p>
      <w:pPr>
        <w:pStyle w:val="Heading1"/>
      </w:pPr>
      <w:r>
        <w:t>Recommended Fix</w:t>
      </w:r>
    </w:p>
    <w:p>
      <w:r>
        <w:t>Resolve the authenticated merchant from the server-side session or token, not from a client-controlled path value.</w:t>
      </w:r>
    </w:p>
    <w:p>
      <w:r>
        <w:t>Check object ownership before returning payout, settlement, refund, transaction, and export records.</w:t>
      </w:r>
    </w:p>
    <w:p>
      <w:r>
        <w:t>Return the same generic not-found response for missing records and records outside the merchant's ownership.</w:t>
      </w:r>
    </w:p>
    <w:p>
      <w:r>
        <w:t>Add automated negative tests for cross-merchant object access across all read and export endpoints.</w:t>
      </w:r>
    </w:p>
    <w:p>
      <w:pPr>
        <w:pStyle w:val="Heading1"/>
      </w:pPr>
      <w:r>
        <w:t>Retest Criteria</w:t>
      </w:r>
    </w:p>
    <w:p>
      <w:r>
        <w:t>The finding passes retest when merchant Alpha cannot retrieve, infer, export, or enumerate merchant Beta payout or settlement records through any dashboard or API path.</w:t>
      </w:r>
    </w:p>
    <w:p>
      <w:r>
        <w:br w:type="page"/>
      </w:r>
    </w:p>
    <w:p>
      <w:pPr>
        <w:pStyle w:val="Heading1"/>
      </w:pPr>
      <w:r>
        <w:t>5. Finding APX-02: Webhook Status Updates Accepted Without Complete Signature Validation</w:t>
      </w:r>
    </w:p>
    <w:p>
      <w:r>
        <w:t>Severity: High. The webhook receiver checked timestamp freshness but did not consistently validate the HMAC signature against the exact raw request body before processing transaction status changes.</w:t>
      </w:r>
    </w:p>
    <w:p>
      <w:pPr>
        <w:pStyle w:val="Heading1"/>
      </w:pPr>
      <w:r>
        <w:t>Business Impact</w:t>
      </w:r>
    </w:p>
    <w:p>
      <w:r>
        <w:t>A forged-looking status update can create false transaction state inside the platform if it reaches the receiver from an allowed route. That can affect reconciliation, support decisions, and merchant-facing transaction history.</w:t>
      </w:r>
    </w:p>
    <w:tbl>
      <w:tblPr>
        <w:tblW w:type="auto" w:w="0"/>
        <w:tblLayout w:type="autofit"/>
        <w:tblLook w:firstColumn="1" w:firstRow="1" w:lastColumn="0" w:lastRow="0" w:noHBand="0" w:noVBand="1" w:val="04A0"/>
      </w:tblPr>
      <w:tblGrid>
        <w:gridCol w:w="5054"/>
        <w:gridCol w:w="5054"/>
      </w:tblGrid>
      <w:tr>
        <w:tc>
          <w:tcPr>
            <w:tcW w:type="dxa" w:w="5054"/>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Evidence item</w:t>
            </w:r>
          </w:p>
        </w:tc>
        <w:tc>
          <w:tcPr>
            <w:tcW w:type="dxa" w:w="5054"/>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Redacted proof</w:t>
            </w:r>
          </w:p>
        </w:tc>
      </w:tr>
      <w:tr>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Endpoint</w:t>
            </w:r>
          </w:p>
        </w:tc>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POST /webhooks/processor/status</w:t>
            </w:r>
          </w:p>
        </w:tc>
      </w:tr>
      <w:tr>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Observed behavior</w:t>
            </w:r>
          </w:p>
        </w:tc>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Request with fresh timestamp and modified JSON body reached status update logic.</w:t>
            </w:r>
          </w:p>
        </w:tc>
      </w:tr>
      <w:tr>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Expected behavior</w:t>
            </w:r>
          </w:p>
        </w:tc>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Reject unless HMAC matches the exact raw body and signing secret.</w:t>
            </w:r>
          </w:p>
        </w:tc>
      </w:tr>
      <w:tr>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Response</w:t>
            </w:r>
          </w:p>
        </w:tc>
        <w:tc>
          <w:tcPr>
            <w:tcW w:type="dxa" w:w="5054"/>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202 Accepted in the tested case.</w:t>
            </w:r>
          </w:p>
        </w:tc>
      </w:tr>
    </w:tbl>
    <w:p/>
    <w:p>
      <w:pPr>
        <w:pStyle w:val="Heading1"/>
      </w:pPr>
      <w:r>
        <w:t>Recommended Fix</w:t>
      </w:r>
    </w:p>
    <w:p>
      <w:r>
        <w:t>Compute HMAC over the raw request body before JSON parsing changes whitespace or key order.</w:t>
      </w:r>
    </w:p>
    <w:p>
      <w:r>
        <w:t>Reject missing, malformed, stale, or mismatched signatures before any status change logic runs.</w:t>
      </w:r>
    </w:p>
    <w:p>
      <w:r>
        <w:t>Store processed event IDs and reject duplicate event IDs within the retention window.</w:t>
      </w:r>
    </w:p>
    <w:p>
      <w:r>
        <w:t>Add integration tests for modified body, missing signature, stale timestamp, duplicated event, and valid signed event.</w:t>
      </w:r>
    </w:p>
    <w:p>
      <w:pPr>
        <w:pStyle w:val="Heading1"/>
      </w:pPr>
      <w:r>
        <w:t>Retest Criteria</w:t>
      </w:r>
    </w:p>
    <w:p>
      <w:r>
        <w:t>The finding passes retest when only correctly signed webhook payloads from the expected provider flow can change transaction state, and all negative cases return a rejected response with no downstream update.</w:t>
      </w:r>
    </w:p>
    <w:p>
      <w:pPr>
        <w:pStyle w:val="Heading1"/>
      </w:pPr>
      <w:r>
        <w:t>6. Medium and Low Findings</w:t>
      </w:r>
    </w:p>
    <w:p>
      <w:r>
        <w:t>These items are not as urgent as APX-01 and APX-02, but they make the product harder to operate safely and explain during partner review.</w:t>
      </w:r>
    </w:p>
    <w:tbl>
      <w:tblPr>
        <w:tblW w:type="auto" w:w="0"/>
        <w:tblLayout w:type="autofit"/>
        <w:tblLook w:firstColumn="1" w:firstRow="1" w:lastColumn="0" w:lastRow="0" w:noHBand="0" w:noVBand="1" w:val="04A0"/>
      </w:tblPr>
      <w:tblGrid>
        <w:gridCol w:w="3369"/>
        <w:gridCol w:w="3369"/>
        <w:gridCol w:w="3369"/>
      </w:tblGrid>
      <w:tr>
        <w:tc>
          <w:tcPr>
            <w:tcW w:type="dxa" w:w="3369"/>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ID</w:t>
            </w:r>
          </w:p>
        </w:tc>
        <w:tc>
          <w:tcPr>
            <w:tcW w:type="dxa" w:w="3369"/>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Issue</w:t>
            </w:r>
          </w:p>
        </w:tc>
        <w:tc>
          <w:tcPr>
            <w:tcW w:type="dxa" w:w="3369"/>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Fix</w:t>
            </w:r>
          </w:p>
        </w:tc>
      </w:tr>
      <w:tr>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APX-03</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Refund endpoint exposes processor error detail.</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Map processor failures to safe application errors and keep raw detail in restricted logs.</w:t>
            </w:r>
          </w:p>
        </w:tc>
      </w:tr>
      <w:tr>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APX-04</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Admin role changes lack before-and-after audit detail.</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Log actor, target user, old role, new role, source IP, and approval reference.</w:t>
            </w:r>
          </w:p>
        </w:tc>
      </w:tr>
      <w:tr>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APX-05</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Password reset tokens remain valid after email change.</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Invalidate active reset tokens after email, password, MFA, or role changes.</w:t>
            </w:r>
          </w:p>
        </w:tc>
      </w:tr>
      <w:tr>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APX-06</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Dashboard export route misses key browser protections.</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Add consistent frame, content-type, referrer, and download headers.</w:t>
            </w:r>
          </w:p>
        </w:tc>
      </w:tr>
      <w:tr>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APX-07</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API errors expose framework and version detail.</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Return generic client errors and move diagnostic detail to restricted logs.</w:t>
            </w:r>
          </w:p>
        </w:tc>
      </w:tr>
    </w:tbl>
    <w:p/>
    <w:p>
      <w:r>
        <w:br w:type="page"/>
      </w:r>
    </w:p>
    <w:p>
      <w:pPr>
        <w:pStyle w:val="Heading1"/>
      </w:pPr>
      <w:r>
        <w:t>7. Remediation Plan</w:t>
      </w:r>
    </w:p>
    <w:p>
      <w:r>
        <w:t>The plan below is ordered by business risk, engineering dependency, and retest value.</w:t>
      </w:r>
    </w:p>
    <w:tbl>
      <w:tblPr>
        <w:tblW w:type="auto" w:w="0"/>
        <w:tblLayout w:type="autofit"/>
        <w:tblLook w:firstColumn="1" w:firstRow="1" w:lastColumn="0" w:lastRow="0" w:noHBand="0" w:noVBand="1" w:val="04A0"/>
      </w:tblPr>
      <w:tblGrid>
        <w:gridCol w:w="3369"/>
        <w:gridCol w:w="3369"/>
        <w:gridCol w:w="3369"/>
      </w:tblGrid>
      <w:tr>
        <w:tc>
          <w:tcPr>
            <w:tcW w:type="dxa" w:w="3369"/>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Day</w:t>
            </w:r>
          </w:p>
        </w:tc>
        <w:tc>
          <w:tcPr>
            <w:tcW w:type="dxa" w:w="3369"/>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Work</w:t>
            </w:r>
          </w:p>
        </w:tc>
        <w:tc>
          <w:tcPr>
            <w:tcW w:type="dxa" w:w="3369"/>
            <w:shd w:fill="E7F7F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Exit condition</w:t>
            </w:r>
          </w:p>
        </w:tc>
      </w:tr>
      <w:tr>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Day 1</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Patch payout ownership checks and add negative API tests.</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Cross-merchant payout reads return generic not-found.</w:t>
            </w:r>
          </w:p>
        </w:tc>
      </w:tr>
      <w:tr>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Day 2</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Apply the same object ownership pattern to settlements, refunds, exports, and transaction reads.</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Authorization tests pass for each object type.</w:t>
            </w:r>
          </w:p>
        </w:tc>
      </w:tr>
      <w:tr>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Day 3</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Replace webhook verification with raw-body HMAC validation and replay protection.</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Modified, replayed, stale, and unsigned payloads are rejected.</w:t>
            </w:r>
          </w:p>
        </w:tc>
      </w:tr>
      <w:tr>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Day 4</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Fix medium findings and add missing audit events.</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Logs show enough detail for role and sensitive account changes.</w:t>
            </w:r>
          </w:p>
        </w:tc>
      </w:tr>
      <w:tr>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Day 5</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Run internal verification and prepare retest build.</w:t>
            </w:r>
          </w:p>
        </w:tc>
        <w:tc>
          <w:tcPr>
            <w:tcW w:type="dxa" w:w="3369"/>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Security contact receives test notes and fixed build details.</w:t>
            </w:r>
          </w:p>
        </w:tc>
      </w:tr>
    </w:tbl>
    <w:p/>
    <w:p>
      <w:pPr>
        <w:pStyle w:val="Heading1"/>
      </w:pPr>
      <w:r>
        <w:t>8. Retest Notes</w:t>
      </w:r>
    </w:p>
    <w:p>
      <w:r>
        <w:t>Recommended retest window: within 10 business days of the remediation build.</w:t>
      </w:r>
    </w:p>
    <w:p>
      <w:r>
        <w:t>Retest access needed: one merchant owner, one merchant analyst, one admin reviewer, webhook signing secret for staging, and two controlled payout records.</w:t>
      </w:r>
    </w:p>
    <w:p>
      <w:r>
        <w:t>Retest deliverable: short confirmation letter listing each finding as Passed, Partially Passed, or Action Still Required.</w:t>
      </w:r>
    </w:p>
    <w:p>
      <w:pPr>
        <w:pStyle w:val="Heading1"/>
      </w:pPr>
      <w:r>
        <w:t>9. Closing Position</w:t>
      </w:r>
    </w:p>
    <w:p>
      <w:r>
        <w:t>ApexPay does not need a broad rebuild. It needs strict server-side ownership checks, reliable webhook proof, and tighter operational records. Fix those first. They remove the highest business risk and give leadership a clean, defensible story for partners and investors.</w:t>
      </w:r>
    </w:p>
    <w:sectPr w:rsidR="00FC693F" w:rsidRPr="0006063C" w:rsidSect="00034616">
      <w:headerReference w:type="default" r:id="rId9"/>
      <w:footerReference w:type="default" r:id="rId10"/>
      <w:pgSz w:w="12240" w:h="15840"/>
      <w:pgMar w:top="893" w:right="1066" w:bottom="893" w:left="10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right"/>
    </w:pPr>
    <w:r>
      <w:rPr>
        <w:color w:val="60707B"/>
        <w:sz w:val="16"/>
      </w:rPr>
      <w:t>simpalabs.com | security@simpalabs.com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r>
      <w:rPr>
        <w:color w:val="60707B"/>
        <w:sz w:val="16"/>
      </w:rPr>
      <w:t>Simpa Labs | Sample Security Review Report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line="269" w:lineRule="auto"/>
    </w:pPr>
    <w:rPr>
      <w:rFonts w:ascii="Space Grotesk" w:hAnsi="Space Grotesk"/>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Space Grotesk" w:hAnsi="Space Grotesk"/>
      <w:b/>
      <w:bCs/>
      <w:color w:val="071316"/>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Space Grotesk" w:hAnsi="Space Grotesk"/>
      <w:b/>
      <w:bCs/>
      <w:color w:val="071316"/>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Space Grotesk" w:hAnsi="Space Grotesk"/>
      <w:b/>
      <w:color w:val="071316"/>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