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27AE8F"/>
          <w:sz w:val="16"/>
        </w:rPr>
        <w:t>CONFIDENTIAL BUSINESS DOCUMENT</w:t>
      </w:r>
    </w:p>
    <w:p>
      <w:pPr>
        <w:pStyle w:val="Title"/>
      </w:pPr>
      <w:r>
        <w:t>Mutual Non-Disclosure Agreement</w:t>
      </w:r>
    </w:p>
    <w:p>
      <w:r>
        <w:rPr>
          <w:color w:val="485460"/>
          <w:sz w:val="22"/>
        </w:rPr>
        <w:t>For scoping, product review, and security engagement discussions.</w:t>
      </w:r>
    </w:p>
    <w:tbl>
      <w:tblPr>
        <w:tblW w:type="auto" w:w="0"/>
        <w:tblLayout w:type="autofit"/>
        <w:tblLook w:firstColumn="1" w:firstRow="1" w:lastColumn="0" w:lastRow="0" w:noHBand="0" w:noVBand="1" w:val="04A0"/>
      </w:tblPr>
      <w:tblGrid>
        <w:gridCol w:w="5083"/>
        <w:gridCol w:w="5083"/>
      </w:tblGrid>
      <w:tr>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shd w:fill="EAF8F5"/>
          </w:tcPr>
          <w:p>
            <w:r>
              <w:t>Consultant</w:t>
            </w:r>
          </w:p>
        </w:tc>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Akande Simpa, EC-Council Certified</w:t>
            </w:r>
          </w:p>
        </w:tc>
      </w:tr>
      <w:tr>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shd w:fill="EAF8F5"/>
          </w:tcPr>
          <w:p>
            <w:r>
              <w:t>Operating names</w:t>
            </w:r>
          </w:p>
        </w:tc>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Simpa Labs / AlterCore Enterprises</w:t>
            </w:r>
          </w:p>
        </w:tc>
      </w:tr>
      <w:tr>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shd w:fill="EAF8F5"/>
          </w:tcPr>
          <w:p>
            <w:r>
              <w:t>Contact</w:t>
            </w:r>
          </w:p>
        </w:tc>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security@simpalabs.com | +234 705 640 4178</w:t>
            </w:r>
          </w:p>
        </w:tc>
      </w:tr>
      <w:tr>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shd w:fill="EAF8F5"/>
          </w:tcPr>
          <w:p>
            <w:r>
              <w:t>Document status</w:t>
            </w:r>
          </w:p>
        </w:tc>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Signature-ready form</w:t>
            </w:r>
          </w:p>
        </w:tc>
      </w:tr>
    </w:tbl>
    <w:p/>
    <w:p>
      <w:pPr>
        <w:pStyle w:val="Heading1"/>
      </w:pPr>
      <w:r>
        <w:t>1. Parties</w:t>
      </w:r>
    </w:p>
    <w:p>
      <w:r>
        <w:t>This Mutual Non-Disclosure Agreement is between Akande Simpa, EC-Council Certified, trading as Simpa Labs / AlterCore Enterprises where applicable, and the client identified in the signature block. Each party may disclose confidential product, technical, business, security, or commercial information to the other for scoping, evaluating, or performing cybersecurity services.</w:t>
      </w:r>
    </w:p>
    <w:p>
      <w:pPr>
        <w:pStyle w:val="Heading1"/>
      </w:pPr>
      <w:r>
        <w:t>2. Confidential Information</w:t>
      </w:r>
    </w:p>
    <w:p>
      <w:r>
        <w:t>Confidential Information includes product details, source code, credentials, architecture diagrams, customer data, vulnerability details, reports, pricing, business plans, technical findings, and any information a reasonable business person would treat as confidential.</w:t>
      </w:r>
    </w:p>
    <w:p>
      <w:pPr>
        <w:pStyle w:val="Heading1"/>
      </w:pPr>
      <w:r>
        <w:t>3. Use and Protection</w:t>
      </w:r>
    </w:p>
    <w:p>
      <w:r>
        <w:t>The receiving party may use Confidential Information only for evaluation, scoping, delivery, remediation, retesting, billing, and related business administration.</w:t>
      </w:r>
    </w:p>
    <w:p>
      <w:r>
        <w:t>The receiving party must protect Confidential Information with reasonable care, limit access to people who need it, and not disclose it externally without written permission.</w:t>
      </w:r>
    </w:p>
    <w:p>
      <w:pPr>
        <w:pStyle w:val="Heading1"/>
      </w:pPr>
      <w:r>
        <w:t>4. Exclusions</w:t>
      </w:r>
    </w:p>
    <w:p>
      <w:r>
        <w:t>Confidential Information does not include information that is already public, lawfully known before disclosure, independently developed without use of the disclosure, or received lawfully from a third party without confidentiality restrictions.</w:t>
      </w:r>
    </w:p>
    <w:p>
      <w:pPr>
        <w:pStyle w:val="Heading1"/>
      </w:pPr>
      <w:r>
        <w:t>5. Security Findings</w:t>
      </w:r>
    </w:p>
    <w:p>
      <w:r>
        <w:t>Security findings, proof materials, screenshots, request logs, reproduction steps, and retest results are confidential by default. They may not be published, shared with investors, partners, auditors, or regulators except as permitted in writing or required by law.</w:t>
      </w:r>
    </w:p>
    <w:p>
      <w:pPr>
        <w:pStyle w:val="Heading1"/>
      </w:pPr>
      <w:r>
        <w:t>6. Term</w:t>
      </w:r>
    </w:p>
    <w:p>
      <w:r>
        <w:t>This agreement starts on the effective date and continues for three years. Confidentiality duties for trade secrets, credentials, personal data, and vulnerability details continue for as long as the information remains sensitive.</w:t>
      </w:r>
    </w:p>
    <w:p>
      <w:pPr>
        <w:pStyle w:val="Heading1"/>
      </w:pPr>
      <w:r>
        <w:t>7. Required Disclosure</w:t>
      </w:r>
    </w:p>
    <w:p>
      <w:r>
        <w:t>If a party is legally required to disclose Confidential Information, it must notify the other party when legally allowed and limit the disclosure to what is required.</w:t>
      </w:r>
    </w:p>
    <w:p>
      <w:pPr>
        <w:pStyle w:val="Heading1"/>
      </w:pPr>
      <w:r>
        <w:t>8. Return or Destruction</w:t>
      </w:r>
    </w:p>
    <w:p>
      <w:r>
        <w:t>On written request, each party will return or destroy Confidential Information, except copies kept for legal, compliance, backup, or professional recordkeeping purposes.</w:t>
      </w:r>
    </w:p>
    <w:p>
      <w:pPr>
        <w:pStyle w:val="Heading1"/>
      </w:pPr>
      <w:r>
        <w:t>9. Governing Law</w:t>
      </w:r>
    </w:p>
    <w:p>
      <w:r>
        <w:t>This agreement is governed by the laws of the Federal Republic of Nigeria.</w:t>
      </w:r>
    </w:p>
    <w:p>
      <w:r>
        <w:br w:type="page"/>
      </w:r>
    </w:p>
    <w:p>
      <w:pPr>
        <w:pStyle w:val="Heading1"/>
        <w:keepNext/>
      </w:pPr>
      <w:r>
        <w:t>Signatures</w:t>
      </w:r>
    </w:p>
    <w:tbl>
      <w:tblPr>
        <w:tblW w:type="auto" w:w="0"/>
        <w:tblLook w:firstColumn="1" w:firstRow="1" w:lastColumn="0" w:lastRow="0" w:noHBand="0" w:noVBand="1" w:val="04A0"/>
      </w:tblPr>
      <w:tblGrid>
        <w:gridCol w:w="5083"/>
        <w:gridCol w:w="5083"/>
      </w:tblGrid>
      <w:tr>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shd w:fill="EAF8F5"/>
          </w:tcPr>
          <w:p>
            <w:r>
              <w:t>Consultant</w:t>
            </w:r>
          </w:p>
        </w:tc>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shd w:fill="EAF8F5"/>
          </w:tcPr>
          <w:p>
            <w:r>
              <w:t>Client</w:t>
            </w:r>
          </w:p>
        </w:tc>
      </w:tr>
      <w:tr>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Signature</w:t>
            </w:r>
          </w:p>
        </w:tc>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Signature</w:t>
            </w:r>
          </w:p>
        </w:tc>
      </w:tr>
      <w:tr>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Name: Akande Simpa</w:t>
            </w:r>
          </w:p>
        </w:tc>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Name: ______________________________</w:t>
            </w:r>
          </w:p>
        </w:tc>
      </w:tr>
      <w:tr>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Capacity: Individual security consultant; trading as Simpa Labs / AlterCore Enterprises where applicable</w:t>
            </w:r>
          </w:p>
        </w:tc>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Title: ______________________________</w:t>
            </w:r>
          </w:p>
        </w:tc>
      </w:tr>
      <w:tr>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Date: ______________________________</w:t>
            </w:r>
          </w:p>
        </w:tc>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Date: ______________________________</w:t>
            </w:r>
          </w:p>
        </w:tc>
      </w:tr>
    </w:tbl>
    <w:sectPr w:rsidR="00FC693F" w:rsidRPr="0006063C" w:rsidSect="00034616">
      <w:headerReference w:type="default" r:id="rId9"/>
      <w:footerReference w:type="default" r:id="rId10"/>
      <w:pgSz w:w="12240" w:h="15840"/>
      <w:pgMar w:top="1037" w:right="1037" w:bottom="979"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right"/>
    </w:pPr>
    <w:r>
      <w:rPr>
        <w:color w:val="60707B"/>
        <w:sz w:val="16"/>
      </w:rPr>
      <w:t>Simpa Labs / AlterCore Enterprises | security@simpalabs.com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r>
      <w:rPr>
        <w:color w:val="60707B"/>
        <w:sz w:val="16"/>
      </w:rPr>
      <w:t>Mutual Non-Disclosure Agreement | Akande Simpa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0B1F2A"/>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0B1F2A"/>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b/>
      <w:color w:val="0B1F2A"/>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