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27AE8F"/>
          <w:sz w:val="16"/>
        </w:rPr>
        <w:t>CONFIDENTIAL BUSINESS DOCUMENT</w:t>
      </w:r>
    </w:p>
    <w:p>
      <w:pPr>
        <w:pStyle w:val="Title"/>
      </w:pPr>
      <w:r>
        <w:t>Master Services Agreement</w:t>
      </w:r>
    </w:p>
    <w:p>
      <w:r>
        <w:rPr>
          <w:color w:val="485460"/>
          <w:sz w:val="22"/>
        </w:rPr>
        <w:t>Baseline commercial terms for security review services.</w:t>
      </w:r>
    </w:p>
    <w:tbl>
      <w:tblPr>
        <w:tblW w:type="auto" w:w="0"/>
        <w:tblLayout w:type="autofit"/>
        <w:tblLook w:firstColumn="1" w:firstRow="1" w:lastColumn="0" w:lastRow="0" w:noHBand="0" w:noVBand="1" w:val="04A0"/>
      </w:tblPr>
      <w:tblGrid>
        <w:gridCol w:w="5083"/>
        <w:gridCol w:w="5083"/>
      </w:tblGrid>
      <w:tr>
        <w:tc>
          <w:tcPr>
            <w:tcW w:type="dxa" w:w="508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shd w:fill="EAF8F5"/>
          </w:tcPr>
          <w:p>
            <w:r>
              <w:t>Consultant</w:t>
            </w:r>
          </w:p>
        </w:tc>
        <w:tc>
          <w:tcPr>
            <w:tcW w:type="dxa" w:w="508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Akande Simpa, EC-Council Certified</w:t>
            </w:r>
          </w:p>
        </w:tc>
      </w:tr>
      <w:tr>
        <w:tc>
          <w:tcPr>
            <w:tcW w:type="dxa" w:w="508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shd w:fill="EAF8F5"/>
          </w:tcPr>
          <w:p>
            <w:r>
              <w:t>Operating names</w:t>
            </w:r>
          </w:p>
        </w:tc>
        <w:tc>
          <w:tcPr>
            <w:tcW w:type="dxa" w:w="508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Simpa Labs / AlterCore Enterprises</w:t>
            </w:r>
          </w:p>
        </w:tc>
      </w:tr>
      <w:tr>
        <w:tc>
          <w:tcPr>
            <w:tcW w:type="dxa" w:w="508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shd w:fill="EAF8F5"/>
          </w:tcPr>
          <w:p>
            <w:r>
              <w:t>Contact</w:t>
            </w:r>
          </w:p>
        </w:tc>
        <w:tc>
          <w:tcPr>
            <w:tcW w:type="dxa" w:w="508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security@simpalabs.com | +234 705 640 4178</w:t>
            </w:r>
          </w:p>
        </w:tc>
      </w:tr>
      <w:tr>
        <w:tc>
          <w:tcPr>
            <w:tcW w:type="dxa" w:w="508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shd w:fill="EAF8F5"/>
          </w:tcPr>
          <w:p>
            <w:r>
              <w:t>Document status</w:t>
            </w:r>
          </w:p>
        </w:tc>
        <w:tc>
          <w:tcPr>
            <w:tcW w:type="dxa" w:w="508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Signature-ready form</w:t>
            </w:r>
          </w:p>
        </w:tc>
      </w:tr>
    </w:tbl>
    <w:p/>
    <w:p>
      <w:pPr>
        <w:pStyle w:val="Heading1"/>
      </w:pPr>
      <w:r>
        <w:t>1. Engagement Model</w:t>
      </w:r>
    </w:p>
    <w:p>
      <w:r>
        <w:t>Akande Simpa, EC-Council Certified, provides cybersecurity consulting, security review, vulnerability assessment, penetration testing, API security, authentication security, secure architecture review, remediation guidance, and retesting services under agreed Statements of Work.</w:t>
      </w:r>
    </w:p>
    <w:p>
      <w:pPr>
        <w:pStyle w:val="Heading1"/>
      </w:pPr>
      <w:r>
        <w:t>2. Contracting Capacity</w:t>
      </w:r>
    </w:p>
    <w:p>
      <w:r>
        <w:t>Simpa Labs is an operating name. Where a business name is required, AlterCore Enterprises may be used as the sole-proprietorship business name. The responsible contracting person remains Akande Simpa unless a different registered entity is later agreed in writing.</w:t>
      </w:r>
    </w:p>
    <w:p>
      <w:pPr>
        <w:pStyle w:val="Heading1"/>
      </w:pPr>
      <w:r>
        <w:t>3. Scope Control</w:t>
      </w:r>
    </w:p>
    <w:p>
      <w:r>
        <w:t>Services are limited to the systems, applications, accounts, dates, methods, and limits listed in the signed Statement of Work and Testing Authorization. Work outside scope requires written approval.</w:t>
      </w:r>
    </w:p>
    <w:p>
      <w:pPr>
        <w:pStyle w:val="Heading1"/>
      </w:pPr>
      <w:r>
        <w:t>4. Client Responsibilities</w:t>
      </w:r>
    </w:p>
    <w:p>
      <w:r>
        <w:t>Provide written authorization, accurate scope details, test accounts, contact points, and any access needed for the agreed work.</w:t>
      </w:r>
    </w:p>
    <w:p>
      <w:r>
        <w:t>Back up critical systems, notify internal teams as needed, and ensure the review does not violate third-party contracts.</w:t>
      </w:r>
    </w:p>
    <w:p>
      <w:r>
        <w:t>Review findings promptly and decide whether to remediate, accept, or defer each item.</w:t>
      </w:r>
    </w:p>
    <w:p>
      <w:pPr>
        <w:pStyle w:val="Heading1"/>
      </w:pPr>
      <w:r>
        <w:t>5. Deliverables</w:t>
      </w:r>
    </w:p>
    <w:p>
      <w:r>
        <w:t>Deliverables may include a technical report, executive summary, remediation walkthrough, retest letter, issue tracker export, data handling note, invoice, and receipt, as defined in the Statement of Work.</w:t>
      </w:r>
    </w:p>
    <w:p>
      <w:pPr>
        <w:pStyle w:val="Heading1"/>
      </w:pPr>
      <w:r>
        <w:t>6. Fees and Payment</w:t>
      </w:r>
    </w:p>
    <w:p>
      <w:r>
        <w:t>Fees, payment milestones, currency, taxes, bank details, and late-payment terms will be stated in the Statement of Work or invoice. Unless stated otherwise, invoices are payable within seven calendar days.</w:t>
      </w:r>
    </w:p>
    <w:p>
      <w:pPr>
        <w:pStyle w:val="Heading1"/>
      </w:pPr>
      <w:r>
        <w:t>7. Confidentiality and Data Protection</w:t>
      </w:r>
    </w:p>
    <w:p>
      <w:r>
        <w:t>Each party must protect confidential information and personal data in line with the NDA, the Data Handling Note, and applicable law. Production data should not be shared unless required and approved in writing.</w:t>
      </w:r>
    </w:p>
    <w:p>
      <w:pPr>
        <w:pStyle w:val="Heading1"/>
      </w:pPr>
      <w:r>
        <w:t>8. No Guarantee of Complete Security</w:t>
      </w:r>
    </w:p>
    <w:p>
      <w:r>
        <w:t>Security reviews reduce risk but do not guarantee that systems are free from vulnerabilities. Findings reflect the scope, access, information, and time available during the engagement.</w:t>
      </w:r>
    </w:p>
    <w:p>
      <w:pPr>
        <w:pStyle w:val="Heading1"/>
      </w:pPr>
      <w:r>
        <w:t>9. Liability</w:t>
      </w:r>
    </w:p>
    <w:p>
      <w:r>
        <w:t>Except for fraud, wilful misconduct, confidentiality breaches, or unpaid fees, each party's total liability should be capped at the fees paid or payable for the relevant Statement of Work unless a different cap is agreed in writing.</w:t>
      </w:r>
    </w:p>
    <w:p>
      <w:pPr>
        <w:pStyle w:val="Heading1"/>
      </w:pPr>
      <w:r>
        <w:t>10. Governing Law and Disputes</w:t>
      </w:r>
    </w:p>
    <w:p>
      <w:r>
        <w:t>This agreement is governed by the laws of the Federal Republic of Nigeria. The parties will first try to resolve disputes through good-faith management discussion before litigation or other formal process.</w:t>
      </w:r>
    </w:p>
    <w:p>
      <w:r>
        <w:br w:type="page"/>
      </w:r>
    </w:p>
    <w:p>
      <w:pPr>
        <w:pStyle w:val="Heading1"/>
        <w:keepNext/>
      </w:pPr>
      <w:r>
        <w:t>Signatures</w:t>
      </w:r>
    </w:p>
    <w:tbl>
      <w:tblPr>
        <w:tblW w:type="auto" w:w="0"/>
        <w:tblLook w:firstColumn="1" w:firstRow="1" w:lastColumn="0" w:lastRow="0" w:noHBand="0" w:noVBand="1" w:val="04A0"/>
      </w:tblPr>
      <w:tblGrid>
        <w:gridCol w:w="5083"/>
        <w:gridCol w:w="5083"/>
      </w:tblGrid>
      <w:tr>
        <w:tc>
          <w:tcPr>
            <w:tcW w:type="dxa" w:w="508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shd w:fill="EAF8F5"/>
          </w:tcPr>
          <w:p>
            <w:r>
              <w:t>Consultant</w:t>
            </w:r>
          </w:p>
        </w:tc>
        <w:tc>
          <w:tcPr>
            <w:tcW w:type="dxa" w:w="508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shd w:fill="EAF8F5"/>
          </w:tcPr>
          <w:p>
            <w:r>
              <w:t>Client</w:t>
            </w:r>
          </w:p>
        </w:tc>
      </w:tr>
      <w:tr>
        <w:tc>
          <w:tcPr>
            <w:tcW w:type="dxa" w:w="508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Signature</w:t>
            </w:r>
          </w:p>
        </w:tc>
        <w:tc>
          <w:tcPr>
            <w:tcW w:type="dxa" w:w="508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Signature</w:t>
            </w:r>
          </w:p>
        </w:tc>
      </w:tr>
      <w:tr>
        <w:tc>
          <w:tcPr>
            <w:tcW w:type="dxa" w:w="508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Name: Akande Simpa</w:t>
            </w:r>
          </w:p>
        </w:tc>
        <w:tc>
          <w:tcPr>
            <w:tcW w:type="dxa" w:w="508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Name: ______________________________</w:t>
            </w:r>
          </w:p>
        </w:tc>
      </w:tr>
      <w:tr>
        <w:tc>
          <w:tcPr>
            <w:tcW w:type="dxa" w:w="508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Capacity: Individual security consultant; trading as Simpa Labs / AlterCore Enterprises where applicable</w:t>
            </w:r>
          </w:p>
        </w:tc>
        <w:tc>
          <w:tcPr>
            <w:tcW w:type="dxa" w:w="508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Title: ______________________________</w:t>
            </w:r>
          </w:p>
        </w:tc>
      </w:tr>
      <w:tr>
        <w:tc>
          <w:tcPr>
            <w:tcW w:type="dxa" w:w="508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Date: ______________________________</w:t>
            </w:r>
          </w:p>
        </w:tc>
        <w:tc>
          <w:tcPr>
            <w:tcW w:type="dxa" w:w="5083"/>
            <w:vAlign w:val="center"/>
            <w:tcBorders>
              <w:top w:val="single" w:sz="6" w:space="0" w:color="D8DEE4"/>
              <w:left w:val="single" w:sz="6" w:space="0" w:color="D8DEE4"/>
              <w:bottom w:val="single" w:sz="6" w:space="0" w:color="D8DEE4"/>
              <w:right w:val="single" w:sz="6" w:space="0" w:color="D8DEE4"/>
              <w:insideH w:val="single" w:sz="6" w:space="0" w:color="D8DEE4"/>
              <w:insideV w:val="single" w:sz="6" w:space="0" w:color="D8DEE4"/>
            </w:tcBorders>
          </w:tcPr>
          <w:p>
            <w:r>
              <w:t>Date: ______________________________</w:t>
            </w:r>
          </w:p>
        </w:tc>
      </w:tr>
    </w:tbl>
    <w:sectPr w:rsidR="00FC693F" w:rsidRPr="0006063C" w:rsidSect="00034616">
      <w:headerReference w:type="default" r:id="rId9"/>
      <w:footerReference w:type="default" r:id="rId10"/>
      <w:pgSz w:w="12240" w:h="15840"/>
      <w:pgMar w:top="1037" w:right="1037" w:bottom="979" w:left="10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right"/>
    </w:pPr>
    <w:r>
      <w:rPr>
        <w:color w:val="60707B"/>
        <w:sz w:val="16"/>
      </w:rPr>
      <w:t>Simpa Labs / AlterCore Enterprises | security@simpalabs.com</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r>
      <w:rPr>
        <w:color w:val="60707B"/>
        <w:sz w:val="16"/>
      </w:rPr>
      <w:t>Master Services Agreement | Akande Simpa</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9" w:lineRule="auto"/>
    </w:pPr>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b/>
      <w:bCs/>
      <w:color w:val="0B1F2A"/>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b/>
      <w:bCs/>
      <w:color w:val="0B1F2A"/>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b/>
      <w:color w:val="0B1F2A"/>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